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bCs/>
          <w:sz w:val="32"/>
          <w:lang w:val="en-US" w:eastAsia="zh-CN"/>
        </w:rPr>
        <w:t>密级：</w:t>
      </w:r>
      <w:r>
        <w:rPr>
          <w:rFonts w:hint="eastAsia" w:ascii="仿宋_GB2312" w:hAnsi="仿宋_GB2312" w:eastAsia="仿宋_GB2312" w:cs="仿宋_GB2312"/>
          <w:b w:val="0"/>
          <w:sz w:val="32"/>
          <w:szCs w:val="32"/>
          <w:lang w:val="en-US" w:eastAsia="zh-CN"/>
        </w:rPr>
        <w:t>公开</w:t>
      </w:r>
    </w:p>
    <w:p>
      <w:pPr>
        <w:spacing w:line="240" w:lineRule="auto"/>
        <w:rPr>
          <w:rFonts w:hint="eastAsia" w:ascii="仿宋_GB2312" w:hAnsi="仿宋_GB2312" w:eastAsia="仿宋_GB2312" w:cs="仿宋_GB2312"/>
          <w:b w:val="0"/>
          <w:sz w:val="32"/>
          <w:lang w:eastAsia="zh-CN"/>
        </w:rPr>
      </w:pPr>
      <w:bookmarkStart w:id="0" w:name="_GoBack"/>
      <w:bookmarkEnd w:id="0"/>
    </w:p>
    <w:p>
      <w:pPr>
        <w:spacing w:line="240" w:lineRule="auto"/>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szCs w:val="32"/>
          <w:lang w:val="en-US" w:eastAsia="zh-CN"/>
        </w:rPr>
        <w:t>建议</w:t>
      </w:r>
      <w:r>
        <w:rPr>
          <w:rFonts w:hint="eastAsia" w:ascii="仿宋_GB2312" w:hAnsi="仿宋_GB2312" w:eastAsia="仿宋_GB2312" w:cs="仿宋_GB2312"/>
          <w:b w:val="0"/>
          <w:sz w:val="32"/>
          <w:lang w:eastAsia="zh-CN"/>
        </w:rPr>
        <w:t>第</w:t>
      </w:r>
      <w:r>
        <w:rPr>
          <w:rFonts w:hint="eastAsia" w:ascii="仿宋_GB2312" w:hAnsi="仿宋_GB2312" w:eastAsia="仿宋_GB2312" w:cs="仿宋_GB2312"/>
          <w:b w:val="0"/>
          <w:sz w:val="28"/>
          <w:lang w:val="en-US" w:eastAsia="zh-CN"/>
        </w:rPr>
        <w:t>20250592</w:t>
      </w:r>
      <w:r>
        <w:rPr>
          <w:rFonts w:hint="eastAsia" w:ascii="仿宋_GB2312" w:hAnsi="仿宋_GB2312" w:eastAsia="仿宋_GB2312" w:cs="仿宋_GB2312"/>
          <w:b w:val="0"/>
          <w:sz w:val="32"/>
          <w:lang w:eastAsia="zh-CN"/>
        </w:rPr>
        <w:t>号</w:t>
      </w:r>
    </w:p>
    <w:p>
      <w:pPr>
        <w:spacing w:line="240" w:lineRule="auto"/>
        <w:ind w:left="1506" w:leftChars="0" w:right="0" w:rightChars="0" w:hanging="1506" w:hangingChars="500"/>
        <w:rPr>
          <w:rFonts w:hint="eastAsia" w:ascii="仿宋_GB2312" w:hAnsi="仿宋_GB2312" w:eastAsia="仿宋_GB2312" w:cs="仿宋_GB2312"/>
          <w:b w:val="0"/>
          <w:sz w:val="30"/>
          <w:szCs w:val="30"/>
          <w:lang w:eastAsia="zh-CN"/>
        </w:rPr>
      </w:pPr>
      <w:r>
        <w:rPr>
          <w:rFonts w:hint="eastAsia" w:ascii="仿宋_GB2312" w:hAnsi="仿宋_GB2312" w:eastAsia="仿宋_GB2312" w:cs="仿宋_GB2312"/>
          <w:b/>
          <w:bCs/>
          <w:sz w:val="30"/>
          <w:szCs w:val="30"/>
          <w:lang w:eastAsia="zh-CN"/>
        </w:rPr>
        <w:t>案    由</w:t>
      </w:r>
      <w:r>
        <w:rPr>
          <w:rFonts w:hint="eastAsia" w:ascii="仿宋_GB2312" w:hAnsi="仿宋_GB2312" w:eastAsia="仿宋_GB2312" w:cs="仿宋_GB2312"/>
          <w:b w:val="0"/>
          <w:sz w:val="30"/>
          <w:szCs w:val="30"/>
          <w:lang w:eastAsia="zh-CN"/>
        </w:rPr>
        <w:t>：</w:t>
      </w:r>
      <w:r>
        <w:rPr>
          <w:rFonts w:hint="eastAsia" w:ascii="仿宋_GB2312" w:hAnsi="仿宋_GB2312" w:eastAsia="仿宋_GB2312" w:cs="仿宋_GB2312"/>
          <w:b w:val="0"/>
          <w:sz w:val="30"/>
          <w:szCs w:val="30"/>
          <w:lang w:val="en-US" w:eastAsia="zh-CN"/>
        </w:rPr>
        <w:t>关于加快深港东部跨境水路口岸建设的建议</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提 出 人：</w:t>
      </w:r>
      <w:r>
        <w:rPr>
          <w:rFonts w:hint="eastAsia" w:ascii="仿宋_GB2312" w:hAnsi="仿宋_GB2312" w:eastAsia="仿宋_GB2312" w:cs="仿宋_GB2312"/>
          <w:b w:val="0"/>
          <w:sz w:val="32"/>
          <w:szCs w:val="32"/>
          <w:lang w:val="en-US" w:eastAsia="zh-CN"/>
        </w:rPr>
        <w:t>胡浩,张弢,李建齐,杨上进,樊成玮,王小燕,王明军,王晓东,袁志雄,陆华,黄静宜</w:t>
      </w:r>
      <w:r>
        <w:rPr>
          <w:rFonts w:hint="eastAsia" w:ascii="仿宋_GB2312" w:hAnsi="仿宋_GB2312" w:eastAsia="仿宋_GB2312" w:cs="仿宋_GB2312"/>
          <w:b w:val="0"/>
          <w:sz w:val="32"/>
          <w:szCs w:val="32"/>
          <w:lang w:val="en-US" w:eastAsia="zh-CN"/>
        </w:rPr>
        <w:t>(共</w:t>
      </w:r>
      <w:r>
        <w:rPr>
          <w:rFonts w:hint="eastAsia" w:ascii="仿宋_GB2312" w:hAnsi="仿宋_GB2312" w:eastAsia="仿宋_GB2312" w:cs="仿宋_GB2312"/>
          <w:b w:val="0"/>
          <w:sz w:val="32"/>
          <w:szCs w:val="32"/>
          <w:lang w:val="en-US" w:eastAsia="zh-CN"/>
        </w:rPr>
        <w:t>11</w:t>
      </w:r>
      <w:r>
        <w:rPr>
          <w:rFonts w:hint="eastAsia" w:ascii="仿宋_GB2312" w:hAnsi="仿宋_GB2312" w:eastAsia="仿宋_GB2312" w:cs="仿宋_GB2312"/>
          <w:b w:val="0"/>
          <w:sz w:val="32"/>
          <w:szCs w:val="32"/>
          <w:lang w:val="en-US" w:eastAsia="zh-CN"/>
        </w:rPr>
        <w:t>名)</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办理类型：</w:t>
      </w:r>
      <w:r>
        <w:rPr>
          <w:rFonts w:hint="eastAsia" w:ascii="仿宋_GB2312" w:hAnsi="仿宋_GB2312" w:eastAsia="仿宋_GB2312" w:cs="仿宋_GB2312"/>
          <w:b w:val="0"/>
          <w:sz w:val="32"/>
          <w:szCs w:val="32"/>
          <w:lang w:val="en-US" w:eastAsia="zh-CN"/>
        </w:rPr>
        <w:t>分办</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承办单位：</w:t>
      </w:r>
      <w:r>
        <w:rPr>
          <w:rFonts w:hint="eastAsia" w:ascii="仿宋_GB2312" w:hAnsi="仿宋_GB2312" w:eastAsia="仿宋_GB2312" w:cs="仿宋_GB2312"/>
          <w:b w:val="0"/>
          <w:sz w:val="32"/>
          <w:szCs w:val="32"/>
          <w:lang w:val="en-US" w:eastAsia="zh-CN"/>
        </w:rPr>
        <w:t>市政府口岸办公室,市交通运输局</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内    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一、案由</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2021年10月6日，香港特区政府公布《北部都会区发展策略》，策略提出：建设大鹏湾/印洲塘生态康乐旅游，就设置跨境水路旅游口岸进行商议及研究。 </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近年来，深圳市政府主要领导多次专门批示、指示：要加快南澳码头建设，尽快开通南澳码头到香港的航线，并将相关工作纳入深港合作相应专班。目前，南澳码头（口岸）工程项目建设正加快推进，该项目距香港东平洲岛海上直线距离仅约2.5海里，距马料水码头、印洲塘海上直线距离约15海里，建成后，可打通粤港澳东部和香港东北部水上旅游通道，促进深港东部基础设施互联互通，助力加快打造大鹏湾/印洲塘生态康乐旅游。</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二、建议</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一是加快推进口岸建设。市政府相关部门积极与香港特区政府就开通南澳码头至马料水、东平洲岛、印洲塘等深港东部水上跨境旅游口岸和航线进行商议及研究，在已基本建成的南澳码头开通设立口岸，试点“双向单边验放”便利通关新模式，在南澳口岸与东平洲岛马料水码头等地之间实现深圳与港澳居民电子通关为主的海港口岸跨境通关模式。</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是推动开通海上航线。依托大鹏新区及香港东部生态旅游资源，推动开通南澳码头至东平洲岛、印洲塘、马料水码头、中港城码头等的跨境“海上巴士”，以及国际游艇航线、港澳都市航线、生态康养航线、免税购物航线等多样化海上旅游航线，谋划打造深港东北部休闲海岛游、深港都市游、生态康养游、跨境嗨购游等特色线路，为粤港澳大湾区建成具有世界影响力的旅游目的地和海上丝绸之路旅游核心门户提供有力支撑。</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left"/>
        <w:textAlignment w:val="auto"/>
        <w:outlineLvl w:val="9"/>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26917"/>
    <w:rsid w:val="03FA7913"/>
    <w:rsid w:val="08AD0527"/>
    <w:rsid w:val="0CA81750"/>
    <w:rsid w:val="104457BF"/>
    <w:rsid w:val="142D5EF2"/>
    <w:rsid w:val="1A8370F8"/>
    <w:rsid w:val="1C52129C"/>
    <w:rsid w:val="1D7E45BC"/>
    <w:rsid w:val="1E4C6E49"/>
    <w:rsid w:val="1F7774AB"/>
    <w:rsid w:val="23B47B07"/>
    <w:rsid w:val="28F64EC4"/>
    <w:rsid w:val="2A5B2BC4"/>
    <w:rsid w:val="2AC820BB"/>
    <w:rsid w:val="2DAC5DFC"/>
    <w:rsid w:val="353A69D5"/>
    <w:rsid w:val="35507787"/>
    <w:rsid w:val="36ED4BEC"/>
    <w:rsid w:val="3A1A2BE3"/>
    <w:rsid w:val="49FA03AF"/>
    <w:rsid w:val="4F955F9D"/>
    <w:rsid w:val="526966EA"/>
    <w:rsid w:val="56D80994"/>
    <w:rsid w:val="574C0B47"/>
    <w:rsid w:val="581F309E"/>
    <w:rsid w:val="5F693127"/>
    <w:rsid w:val="66135703"/>
    <w:rsid w:val="6C5816D0"/>
    <w:rsid w:val="6E9C1746"/>
    <w:rsid w:val="70F449E4"/>
    <w:rsid w:val="713C1E52"/>
    <w:rsid w:val="731474DA"/>
    <w:rsid w:val="732C1598"/>
    <w:rsid w:val="73735F79"/>
    <w:rsid w:val="79DA1477"/>
    <w:rsid w:val="7A075E2D"/>
    <w:rsid w:val="7E2F2A5C"/>
    <w:rsid w:val="7F9F38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limjeon</dc:creator>
  <cp:lastModifiedBy>不如吃茶去</cp:lastModifiedBy>
  <dcterms:modified xsi:type="dcterms:W3CDTF">2021-08-23T03:26:00Z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541166959B6841688F680FB6A261768C</vt:lpwstr>
  </property>
</Properties>
</file>